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宋体" w:hAnsi="宋体" w:eastAsia="宋体" w:cs="宋体"/>
          <w:b/>
          <w:bCs/>
          <w:sz w:val="30"/>
          <w:szCs w:val="30"/>
          <w:lang w:val="en-US" w:eastAsia="zh-CN"/>
        </w:rPr>
      </w:pPr>
      <w:r>
        <w:rPr>
          <w:rFonts w:hint="eastAsia" w:ascii="宋体" w:hAnsi="宋体" w:eastAsia="宋体" w:cs="宋体"/>
          <w:b/>
          <w:bCs/>
          <w:sz w:val="30"/>
          <w:szCs w:val="30"/>
          <w:lang w:eastAsia="zh-CN"/>
        </w:rPr>
        <w:t>附件：</w:t>
      </w:r>
      <w:r>
        <w:rPr>
          <w:rFonts w:hint="eastAsia" w:ascii="宋体" w:hAnsi="宋体" w:eastAsia="宋体" w:cs="宋体"/>
          <w:b/>
          <w:bCs/>
          <w:sz w:val="30"/>
          <w:szCs w:val="30"/>
          <w:lang w:val="en-US" w:eastAsia="zh-CN"/>
        </w:rPr>
        <w:t>2.</w:t>
      </w:r>
      <w:bookmarkStart w:id="1" w:name="_GoBack"/>
      <w:bookmarkEnd w:id="1"/>
    </w:p>
    <w:p>
      <w:pPr>
        <w:jc w:val="center"/>
        <w:rPr>
          <w:rFonts w:hint="eastAsia" w:ascii="宋体" w:hAnsi="宋体" w:eastAsia="宋体" w:cs="宋体"/>
          <w:b/>
          <w:bCs/>
          <w:sz w:val="30"/>
          <w:szCs w:val="30"/>
        </w:rPr>
      </w:pPr>
      <w:r>
        <w:rPr>
          <w:rFonts w:hint="eastAsia" w:ascii="宋体" w:hAnsi="宋体" w:eastAsia="宋体" w:cs="宋体"/>
          <w:b/>
          <w:bCs/>
          <w:sz w:val="30"/>
          <w:szCs w:val="30"/>
        </w:rPr>
        <w:t>山东科技大学泰山科技学院</w:t>
      </w:r>
    </w:p>
    <w:p>
      <w:pPr>
        <w:jc w:val="center"/>
        <w:rPr>
          <w:rFonts w:hint="eastAsia" w:ascii="宋体" w:hAnsi="宋体" w:eastAsia="宋体" w:cs="宋体"/>
          <w:b/>
          <w:bCs/>
          <w:sz w:val="30"/>
          <w:szCs w:val="30"/>
        </w:rPr>
      </w:pPr>
      <w:r>
        <w:rPr>
          <w:rFonts w:hint="eastAsia" w:ascii="宋体" w:hAnsi="宋体" w:eastAsia="宋体" w:cs="宋体"/>
          <w:b/>
          <w:bCs/>
          <w:sz w:val="30"/>
          <w:szCs w:val="30"/>
          <w:lang w:val="en-US" w:eastAsia="zh-CN"/>
        </w:rPr>
        <w:t>2019-2020学年</w:t>
      </w:r>
      <w:r>
        <w:rPr>
          <w:rFonts w:hint="eastAsia" w:ascii="宋体" w:hAnsi="宋体" w:eastAsia="宋体" w:cs="宋体"/>
          <w:b/>
          <w:bCs/>
          <w:sz w:val="30"/>
          <w:szCs w:val="30"/>
        </w:rPr>
        <w:t>“优秀学生会创建单位”工作考评细则</w:t>
      </w:r>
    </w:p>
    <w:p>
      <w:pPr>
        <w:jc w:val="left"/>
        <w:rPr>
          <w:rFonts w:hint="eastAsia" w:ascii="宋体" w:hAnsi="宋体" w:eastAsia="宋体" w:cs="宋体"/>
          <w:sz w:val="30"/>
          <w:szCs w:val="30"/>
        </w:rPr>
      </w:pPr>
      <w:r>
        <w:rPr>
          <w:rFonts w:hint="eastAsia" w:ascii="宋体" w:hAnsi="宋体" w:eastAsia="宋体" w:cs="宋体"/>
          <w:sz w:val="30"/>
          <w:szCs w:val="30"/>
        </w:rPr>
        <w:t>参评组织名称：＿＿＿＿＿＿＿＿＿＿＿＿＿＿＿＿</w:t>
      </w:r>
    </w:p>
    <w:tbl>
      <w:tblPr>
        <w:tblStyle w:val="5"/>
        <w:tblW w:w="52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10488"/>
        <w:gridCol w:w="950"/>
        <w:gridCol w:w="900"/>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811" w:type="dxa"/>
            <w:vAlign w:val="center"/>
          </w:tcPr>
          <w:p>
            <w:pPr>
              <w:jc w:val="center"/>
              <w:rPr>
                <w:rFonts w:ascii="宋体" w:hAnsi="宋体" w:eastAsia="宋体" w:cs="华文中宋"/>
                <w:b/>
                <w:bCs/>
                <w:sz w:val="24"/>
                <w:szCs w:val="24"/>
              </w:rPr>
            </w:pPr>
            <w:r>
              <w:rPr>
                <w:rFonts w:hint="eastAsia" w:ascii="宋体" w:hAnsi="宋体" w:eastAsia="宋体" w:cs="华文中宋"/>
                <w:b/>
                <w:bCs/>
                <w:sz w:val="24"/>
                <w:szCs w:val="24"/>
              </w:rPr>
              <w:t>考核项目</w:t>
            </w:r>
          </w:p>
        </w:tc>
        <w:tc>
          <w:tcPr>
            <w:tcW w:w="10488" w:type="dxa"/>
            <w:vAlign w:val="center"/>
          </w:tcPr>
          <w:p>
            <w:pPr>
              <w:jc w:val="center"/>
              <w:rPr>
                <w:rFonts w:ascii="宋体" w:hAnsi="宋体" w:eastAsia="宋体" w:cs="华文中宋"/>
                <w:b/>
                <w:bCs/>
                <w:sz w:val="24"/>
                <w:szCs w:val="24"/>
              </w:rPr>
            </w:pPr>
            <w:r>
              <w:rPr>
                <w:rFonts w:hint="eastAsia" w:ascii="宋体" w:hAnsi="宋体" w:eastAsia="宋体" w:cs="华文中宋"/>
                <w:b/>
                <w:bCs/>
                <w:sz w:val="24"/>
                <w:szCs w:val="24"/>
              </w:rPr>
              <w:t>考评细则</w:t>
            </w:r>
          </w:p>
        </w:tc>
        <w:tc>
          <w:tcPr>
            <w:tcW w:w="950" w:type="dxa"/>
            <w:vAlign w:val="center"/>
          </w:tcPr>
          <w:p>
            <w:pPr>
              <w:jc w:val="center"/>
              <w:rPr>
                <w:rFonts w:ascii="宋体" w:hAnsi="宋体" w:eastAsia="宋体" w:cs="华文中宋"/>
                <w:b/>
                <w:bCs/>
                <w:sz w:val="24"/>
                <w:szCs w:val="24"/>
              </w:rPr>
            </w:pPr>
            <w:r>
              <w:rPr>
                <w:rFonts w:hint="eastAsia" w:ascii="宋体" w:hAnsi="宋体" w:eastAsia="宋体" w:cs="华文中宋"/>
                <w:b/>
                <w:bCs/>
                <w:sz w:val="24"/>
                <w:szCs w:val="24"/>
              </w:rPr>
              <w:t>自评分</w:t>
            </w:r>
          </w:p>
        </w:tc>
        <w:tc>
          <w:tcPr>
            <w:tcW w:w="900" w:type="dxa"/>
            <w:vAlign w:val="center"/>
          </w:tcPr>
          <w:p>
            <w:pPr>
              <w:jc w:val="center"/>
              <w:rPr>
                <w:rFonts w:ascii="宋体" w:hAnsi="宋体" w:eastAsia="宋体" w:cs="华文中宋"/>
                <w:b/>
                <w:bCs/>
                <w:sz w:val="24"/>
                <w:szCs w:val="24"/>
              </w:rPr>
            </w:pPr>
            <w:r>
              <w:rPr>
                <w:rFonts w:hint="eastAsia" w:ascii="宋体" w:hAnsi="宋体" w:eastAsia="宋体" w:cs="华文中宋"/>
                <w:b/>
                <w:bCs/>
                <w:sz w:val="24"/>
                <w:szCs w:val="24"/>
              </w:rPr>
              <w:t>考评分</w:t>
            </w:r>
          </w:p>
        </w:tc>
        <w:tc>
          <w:tcPr>
            <w:tcW w:w="816" w:type="dxa"/>
            <w:vAlign w:val="center"/>
          </w:tcPr>
          <w:p>
            <w:pPr>
              <w:jc w:val="center"/>
              <w:rPr>
                <w:rFonts w:ascii="宋体" w:hAnsi="宋体" w:eastAsia="宋体" w:cs="华文中宋"/>
                <w:b/>
                <w:bCs/>
                <w:sz w:val="24"/>
                <w:szCs w:val="24"/>
              </w:rPr>
            </w:pPr>
            <w:r>
              <w:rPr>
                <w:rFonts w:hint="eastAsia" w:ascii="宋体" w:hAnsi="宋体" w:eastAsia="宋体" w:cs="华文中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1"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组织思想建设</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b w:val="0"/>
                <w:bCs w:val="0"/>
                <w:sz w:val="24"/>
                <w:szCs w:val="24"/>
              </w:rPr>
              <w:t>（20分）</w:t>
            </w:r>
          </w:p>
        </w:tc>
        <w:tc>
          <w:tcPr>
            <w:tcW w:w="10488" w:type="dxa"/>
            <w:vAlign w:val="center"/>
          </w:tcPr>
          <w:p>
            <w:pPr>
              <w:spacing w:line="300" w:lineRule="exact"/>
              <w:rPr>
                <w:rFonts w:hint="eastAsia" w:ascii="仿宋_GB2312" w:hAnsi="仿宋_GB2312" w:eastAsia="仿宋_GB2312" w:cs="仿宋_GB2312"/>
                <w:sz w:val="24"/>
                <w:szCs w:val="24"/>
              </w:rPr>
            </w:pPr>
            <w:bookmarkStart w:id="0" w:name="_Hlk34751671"/>
            <w:r>
              <w:rPr>
                <w:rFonts w:hint="eastAsia" w:ascii="仿宋_GB2312" w:hAnsi="仿宋_GB2312" w:eastAsia="仿宋_GB2312" w:cs="仿宋_GB2312"/>
                <w:sz w:val="24"/>
                <w:szCs w:val="24"/>
              </w:rPr>
              <w:t>1.遵纪守法，坚持党的基本思想路线、方针政策；坚决执行我校的有关决议、决定、维护遵守校规校纪，倡导良好的校风、学风，在学生中起先锋模范作用。（2分）</w:t>
            </w:r>
          </w:p>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2.加强学生干部队伍作风建设，不断强化学生干部的群众意识、责任意识、奉献意识,推进学生干部转变作风，坚决抵制和克服脱离广大同学的倾向。（2分）</w:t>
            </w:r>
          </w:p>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3.各二级学院学生会具备并不断完善基本章程、工作条例。（2分）</w:t>
            </w:r>
          </w:p>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完善组织架构，健全二级学院学生会职能部门成立机制，机构、部门设置完备，职责、人员分配合理，各二级学院学生会职能部门与校学生会职能部门相匹配，剔除“无作为”部门（2分）；逐步建立起健全的制度体系并严格遵守，如：日常管理制度、汇报制度、例会制度、总结制度、考核制度、奖惩制度，制度应立足实际, 切实可行（2分）；二级学院学生会干部应维护学校荣誉、勤奋学习、锐意进取、开拓创新，生活作风严谨，维护学院学生会的威望和声誉，完成学生会委托安排的各项工作任务，做到每学期工作有计划、有总结，并经常向上级汇报工作，建立规范完整的学生干部、干事考察任免机制。（4分）</w:t>
            </w:r>
          </w:p>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5.加强学生会成员内部交流与培训工作，注重学生会成员能力提升，形成完善的培训体系，定期开展基础技能、专项技能等培训（2 分）；加强与本学院学生内部交流，及时掌握、了解学院学生思想动态。（2分）</w:t>
            </w:r>
          </w:p>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6.各二级学院应于每年6月召开学生干部换届大会。二级学院学生会主席团成员、主席人选由学生代表共同选举产生，其他学生会干部的选拔产生也须面向广大同学，保证广大同学的参与机会。（2分）</w:t>
            </w:r>
            <w:bookmarkEnd w:id="0"/>
          </w:p>
        </w:tc>
        <w:tc>
          <w:tcPr>
            <w:tcW w:w="950" w:type="dxa"/>
            <w:vAlign w:val="center"/>
          </w:tcPr>
          <w:p>
            <w:pPr>
              <w:spacing w:line="300" w:lineRule="exact"/>
              <w:jc w:val="center"/>
              <w:rPr>
                <w:rFonts w:hint="eastAsia" w:ascii="仿宋_GB2312" w:hAnsi="仿宋_GB2312" w:eastAsia="仿宋_GB2312" w:cs="仿宋_GB2312"/>
                <w:sz w:val="24"/>
                <w:szCs w:val="24"/>
              </w:rPr>
            </w:pPr>
          </w:p>
        </w:tc>
        <w:tc>
          <w:tcPr>
            <w:tcW w:w="900" w:type="dxa"/>
            <w:vAlign w:val="center"/>
          </w:tcPr>
          <w:p>
            <w:pPr>
              <w:spacing w:line="300" w:lineRule="exact"/>
              <w:jc w:val="center"/>
              <w:rPr>
                <w:rFonts w:hint="eastAsia" w:ascii="仿宋_GB2312" w:hAnsi="仿宋_GB2312" w:eastAsia="仿宋_GB2312" w:cs="仿宋_GB2312"/>
                <w:sz w:val="24"/>
                <w:szCs w:val="24"/>
              </w:rPr>
            </w:pPr>
          </w:p>
        </w:tc>
        <w:tc>
          <w:tcPr>
            <w:tcW w:w="816" w:type="dxa"/>
            <w:vAlign w:val="center"/>
          </w:tcPr>
          <w:p>
            <w:pPr>
              <w:jc w:val="left"/>
              <w:rPr>
                <w:rFonts w:ascii="仿宋_GB2312" w:hAnsi="华文中宋" w:eastAsia="仿宋_GB2312" w:cs="华文中宋"/>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1"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权益维护 </w:t>
            </w:r>
          </w:p>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（10分）</w:t>
            </w:r>
          </w:p>
        </w:tc>
        <w:tc>
          <w:tcPr>
            <w:tcW w:w="10488" w:type="dxa"/>
            <w:vAlign w:val="center"/>
          </w:tcPr>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1.学生权益维护工作常态化，建立学生维权专项渠道（线上线下）。（2分）</w:t>
            </w:r>
          </w:p>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2.与相关公益律师机构、法律援助机构、法律援助类学生社团建立合作，为权益受到侵害的同学提供法律咨询、法律援助等服务，有效解决同学们的提出的相应问题，处理学生维权事件，0.5分/次。（4分）</w:t>
            </w:r>
          </w:p>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3.依托校学生会权益部微信线上权益维护平台,及时收集、听取涉及广大同学切身利益和普遍诉求的问题,定期形成报告提交校学生会权益部,并进行跟进切实推动问题的解决，0.5分/次。（4分）</w:t>
            </w:r>
          </w:p>
        </w:tc>
        <w:tc>
          <w:tcPr>
            <w:tcW w:w="950" w:type="dxa"/>
            <w:vAlign w:val="center"/>
          </w:tcPr>
          <w:p>
            <w:pPr>
              <w:spacing w:line="300" w:lineRule="exact"/>
              <w:jc w:val="center"/>
              <w:rPr>
                <w:rFonts w:hint="eastAsia" w:ascii="仿宋_GB2312" w:hAnsi="仿宋_GB2312" w:eastAsia="仿宋_GB2312" w:cs="仿宋_GB2312"/>
                <w:sz w:val="24"/>
                <w:szCs w:val="24"/>
              </w:rPr>
            </w:pPr>
          </w:p>
        </w:tc>
        <w:tc>
          <w:tcPr>
            <w:tcW w:w="900" w:type="dxa"/>
            <w:vAlign w:val="center"/>
          </w:tcPr>
          <w:p>
            <w:pPr>
              <w:spacing w:line="300" w:lineRule="exact"/>
              <w:jc w:val="center"/>
              <w:rPr>
                <w:rFonts w:hint="eastAsia" w:ascii="仿宋_GB2312" w:hAnsi="仿宋_GB2312" w:eastAsia="仿宋_GB2312" w:cs="仿宋_GB2312"/>
                <w:sz w:val="24"/>
                <w:szCs w:val="24"/>
              </w:rPr>
            </w:pPr>
          </w:p>
        </w:tc>
        <w:tc>
          <w:tcPr>
            <w:tcW w:w="816" w:type="dxa"/>
            <w:vAlign w:val="center"/>
          </w:tcPr>
          <w:p>
            <w:pPr>
              <w:jc w:val="center"/>
              <w:rPr>
                <w:rFonts w:ascii="仿宋_GB2312" w:hAnsi="华文中宋" w:eastAsia="仿宋_GB2312" w:cs="华文中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1"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宣传建设 </w:t>
            </w:r>
          </w:p>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（15分）</w:t>
            </w:r>
          </w:p>
        </w:tc>
        <w:tc>
          <w:tcPr>
            <w:tcW w:w="10488" w:type="dxa"/>
            <w:vAlign w:val="center"/>
          </w:tcPr>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1.各二级学院注重自媒体平台的建设工作，利用学院学生会微博、微信、QQ等宣传方式积极主动宣传学院学生会工作或活动,扩大宣传覆盖面，0.2 分/次。（4 分）</w:t>
            </w:r>
          </w:p>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加强与校外媒体合作，踊跃投稿，校外主流媒体（官方电视台、报社、广播）报道国家级2分/次，市级1分/次，区级0.5分/次，学校官网、青春泰山等团学工作官方公众平台0.3分/次、同一活动报道取最高值。（7分）</w:t>
            </w:r>
          </w:p>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3.各二级学院学生会工作，形成特色宣传资料册，形式不限。（4分）</w:t>
            </w:r>
          </w:p>
        </w:tc>
        <w:tc>
          <w:tcPr>
            <w:tcW w:w="950" w:type="dxa"/>
            <w:vAlign w:val="center"/>
          </w:tcPr>
          <w:p>
            <w:pPr>
              <w:spacing w:line="300" w:lineRule="exact"/>
              <w:jc w:val="center"/>
              <w:rPr>
                <w:rFonts w:hint="eastAsia" w:ascii="仿宋_GB2312" w:hAnsi="仿宋_GB2312" w:eastAsia="仿宋_GB2312" w:cs="仿宋_GB2312"/>
                <w:sz w:val="24"/>
                <w:szCs w:val="24"/>
              </w:rPr>
            </w:pPr>
          </w:p>
        </w:tc>
        <w:tc>
          <w:tcPr>
            <w:tcW w:w="900" w:type="dxa"/>
            <w:vAlign w:val="center"/>
          </w:tcPr>
          <w:p>
            <w:pPr>
              <w:spacing w:line="300" w:lineRule="exact"/>
              <w:jc w:val="center"/>
              <w:rPr>
                <w:rFonts w:hint="eastAsia" w:ascii="仿宋_GB2312" w:hAnsi="仿宋_GB2312" w:eastAsia="仿宋_GB2312" w:cs="仿宋_GB2312"/>
                <w:sz w:val="24"/>
                <w:szCs w:val="24"/>
              </w:rPr>
            </w:pPr>
          </w:p>
        </w:tc>
        <w:tc>
          <w:tcPr>
            <w:tcW w:w="816" w:type="dxa"/>
            <w:vAlign w:val="center"/>
          </w:tcPr>
          <w:p>
            <w:pPr>
              <w:jc w:val="center"/>
              <w:rPr>
                <w:rFonts w:ascii="仿宋_GB2312" w:hAnsi="华文中宋" w:eastAsia="仿宋_GB2312" w:cs="华文中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1"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重点工作支持 </w:t>
            </w:r>
          </w:p>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（25分）</w:t>
            </w:r>
          </w:p>
        </w:tc>
        <w:tc>
          <w:tcPr>
            <w:tcW w:w="10488" w:type="dxa"/>
            <w:vAlign w:val="center"/>
          </w:tcPr>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1.积极配合校级学生组织筹备及开展校内各项大型活动，0.5分/次。（5分）</w:t>
            </w:r>
          </w:p>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2.自主申报并成功举办校级及其以上大型校园活动，2分/次。（6分）</w:t>
            </w:r>
          </w:p>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3.正确引导推荐学院学生会优秀成员到校学生会参加学生干部任职竞聘。（2分）</w:t>
            </w:r>
          </w:p>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4.遵守校学生会各项规章制度，践行物资管理、强化外联规范管理，如违反扣0.5分/次。(5分） </w:t>
            </w:r>
          </w:p>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5.各学院学生会成员按时出席校院两级对应职能部门工作会议（2分）并于每月末（27-30 日）按时向校学生会上交下月工作计划，本月工作总结、活动资料、会议记录等相关文件，0.5分/次。（5分）</w:t>
            </w:r>
          </w:p>
        </w:tc>
        <w:tc>
          <w:tcPr>
            <w:tcW w:w="950" w:type="dxa"/>
            <w:vAlign w:val="center"/>
          </w:tcPr>
          <w:p>
            <w:pPr>
              <w:spacing w:line="300" w:lineRule="exact"/>
              <w:jc w:val="center"/>
              <w:rPr>
                <w:rFonts w:hint="eastAsia" w:ascii="仿宋_GB2312" w:hAnsi="仿宋_GB2312" w:eastAsia="仿宋_GB2312" w:cs="仿宋_GB2312"/>
                <w:sz w:val="24"/>
                <w:szCs w:val="24"/>
              </w:rPr>
            </w:pPr>
          </w:p>
        </w:tc>
        <w:tc>
          <w:tcPr>
            <w:tcW w:w="900" w:type="dxa"/>
            <w:vAlign w:val="center"/>
          </w:tcPr>
          <w:p>
            <w:pPr>
              <w:spacing w:line="300" w:lineRule="exact"/>
              <w:jc w:val="center"/>
              <w:rPr>
                <w:rFonts w:hint="eastAsia" w:ascii="仿宋_GB2312" w:hAnsi="仿宋_GB2312" w:eastAsia="仿宋_GB2312" w:cs="仿宋_GB2312"/>
                <w:sz w:val="24"/>
                <w:szCs w:val="24"/>
              </w:rPr>
            </w:pPr>
          </w:p>
        </w:tc>
        <w:tc>
          <w:tcPr>
            <w:tcW w:w="816" w:type="dxa"/>
            <w:vAlign w:val="center"/>
          </w:tcPr>
          <w:p>
            <w:pPr>
              <w:jc w:val="center"/>
              <w:rPr>
                <w:rFonts w:ascii="仿宋_GB2312" w:hAnsi="华文中宋" w:eastAsia="仿宋_GB2312" w:cs="华文中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1"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二级学院</w:t>
            </w:r>
          </w:p>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特色工作开展 </w:t>
            </w:r>
          </w:p>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（30分）</w:t>
            </w:r>
          </w:p>
        </w:tc>
        <w:tc>
          <w:tcPr>
            <w:tcW w:w="10488" w:type="dxa"/>
            <w:vAlign w:val="center"/>
          </w:tcPr>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1.切合完满教育育人理念，积极开展具有引导和帮助学生进行自我服务、自我管理、自我教育的活动。2分/项（4分）</w:t>
            </w:r>
          </w:p>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2.加强校内外合作交流，主动同校内外组织企业建立良好合作关系（1分/次共3分），与其他高校进行合作交流（1分/次共2分），积极开展与之相关特色活动（1分/次共3分）。（本项共 8分）</w:t>
            </w:r>
          </w:p>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3.根据现有工作的基础上，不断挖掘深层次内涵，构建本学院活动体系并获得较好反响（4分）。</w:t>
            </w:r>
          </w:p>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4结合学院自身特色，积极开展特色品牌活动。2分/项。（4分）</w:t>
            </w:r>
          </w:p>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5.积极从校外引进承办有助于完满教育发展的高品质活动，3分/项。（6分）</w:t>
            </w:r>
          </w:p>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6.二级学院学生会成功申报完满教育品牌活动（项目）立项，2分/项。（4分）</w:t>
            </w:r>
          </w:p>
        </w:tc>
        <w:tc>
          <w:tcPr>
            <w:tcW w:w="950" w:type="dxa"/>
            <w:vAlign w:val="center"/>
          </w:tcPr>
          <w:p>
            <w:pPr>
              <w:spacing w:line="300" w:lineRule="exact"/>
              <w:rPr>
                <w:rFonts w:hint="eastAsia" w:ascii="仿宋_GB2312" w:hAnsi="仿宋_GB2312" w:eastAsia="仿宋_GB2312" w:cs="仿宋_GB2312"/>
                <w:sz w:val="24"/>
                <w:szCs w:val="24"/>
              </w:rPr>
            </w:pPr>
          </w:p>
        </w:tc>
        <w:tc>
          <w:tcPr>
            <w:tcW w:w="900" w:type="dxa"/>
            <w:vAlign w:val="center"/>
          </w:tcPr>
          <w:p>
            <w:pPr>
              <w:spacing w:line="300" w:lineRule="exact"/>
              <w:rPr>
                <w:rFonts w:hint="eastAsia" w:ascii="仿宋_GB2312" w:hAnsi="仿宋_GB2312" w:eastAsia="仿宋_GB2312" w:cs="仿宋_GB2312"/>
                <w:sz w:val="24"/>
                <w:szCs w:val="24"/>
              </w:rPr>
            </w:pPr>
          </w:p>
        </w:tc>
        <w:tc>
          <w:tcPr>
            <w:tcW w:w="816" w:type="dxa"/>
            <w:vAlign w:val="center"/>
          </w:tcPr>
          <w:p>
            <w:pPr>
              <w:jc w:val="center"/>
              <w:rPr>
                <w:rFonts w:ascii="仿宋_GB2312" w:hAnsi="华文中宋" w:eastAsia="仿宋_GB2312" w:cs="华文中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11" w:type="dxa"/>
            <w:vMerge w:val="restart"/>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附加分项</w:t>
            </w:r>
          </w:p>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（不超过10分）</w:t>
            </w:r>
          </w:p>
        </w:tc>
        <w:tc>
          <w:tcPr>
            <w:tcW w:w="10488" w:type="dxa"/>
            <w:shd w:val="clear" w:color="auto" w:fill="auto"/>
            <w:vAlign w:val="center"/>
          </w:tcPr>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二级学院学生会集体获奖：获国家奖项一次加4分，省（市）级一次加 2分，校级一次1分。</w:t>
            </w:r>
          </w:p>
        </w:tc>
        <w:tc>
          <w:tcPr>
            <w:tcW w:w="950" w:type="dxa"/>
            <w:vMerge w:val="restart"/>
            <w:vAlign w:val="center"/>
          </w:tcPr>
          <w:p>
            <w:pPr>
              <w:spacing w:line="300" w:lineRule="exact"/>
              <w:rPr>
                <w:rFonts w:hint="eastAsia" w:ascii="仿宋_GB2312" w:hAnsi="仿宋_GB2312" w:eastAsia="仿宋_GB2312" w:cs="仿宋_GB2312"/>
                <w:sz w:val="24"/>
                <w:szCs w:val="24"/>
              </w:rPr>
            </w:pPr>
          </w:p>
        </w:tc>
        <w:tc>
          <w:tcPr>
            <w:tcW w:w="900" w:type="dxa"/>
            <w:vMerge w:val="restart"/>
            <w:vAlign w:val="center"/>
          </w:tcPr>
          <w:p>
            <w:pPr>
              <w:spacing w:line="300" w:lineRule="exact"/>
              <w:rPr>
                <w:rFonts w:hint="eastAsia" w:ascii="仿宋_GB2312" w:hAnsi="仿宋_GB2312" w:eastAsia="仿宋_GB2312" w:cs="仿宋_GB2312"/>
                <w:sz w:val="24"/>
                <w:szCs w:val="24"/>
              </w:rPr>
            </w:pPr>
          </w:p>
        </w:tc>
        <w:tc>
          <w:tcPr>
            <w:tcW w:w="816" w:type="dxa"/>
            <w:vMerge w:val="restart"/>
            <w:vAlign w:val="center"/>
          </w:tcPr>
          <w:p>
            <w:pPr>
              <w:jc w:val="center"/>
              <w:rPr>
                <w:rFonts w:ascii="仿宋_GB2312" w:hAnsi="华文中宋" w:eastAsia="仿宋_GB2312" w:cs="华文中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11" w:type="dxa"/>
            <w:vMerge w:val="continue"/>
            <w:vAlign w:val="center"/>
          </w:tcPr>
          <w:p>
            <w:pPr>
              <w:jc w:val="center"/>
              <w:rPr>
                <w:rFonts w:hint="eastAsia" w:ascii="仿宋_GB2312" w:hAnsi="仿宋_GB2312" w:eastAsia="仿宋_GB2312" w:cs="仿宋_GB2312"/>
                <w:b w:val="0"/>
                <w:bCs w:val="0"/>
                <w:sz w:val="24"/>
                <w:szCs w:val="24"/>
              </w:rPr>
            </w:pPr>
          </w:p>
        </w:tc>
        <w:tc>
          <w:tcPr>
            <w:tcW w:w="10488" w:type="dxa"/>
            <w:shd w:val="clear" w:color="auto" w:fill="auto"/>
            <w:vAlign w:val="center"/>
          </w:tcPr>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二级学院学生会个人（干部）以学生会名义获奖：获得国家级奖项一、二、三等表彰分别 加 3分、2分、1分，省市级奖项一、二、三等表彰分别加 2分、1分、0.5分。</w:t>
            </w:r>
          </w:p>
        </w:tc>
        <w:tc>
          <w:tcPr>
            <w:tcW w:w="950" w:type="dxa"/>
            <w:vMerge w:val="continue"/>
            <w:vAlign w:val="center"/>
          </w:tcPr>
          <w:p>
            <w:pPr>
              <w:spacing w:line="300" w:lineRule="exact"/>
              <w:rPr>
                <w:rFonts w:hint="eastAsia" w:ascii="仿宋_GB2312" w:hAnsi="仿宋_GB2312" w:eastAsia="仿宋_GB2312" w:cs="仿宋_GB2312"/>
                <w:sz w:val="24"/>
                <w:szCs w:val="24"/>
              </w:rPr>
            </w:pPr>
          </w:p>
        </w:tc>
        <w:tc>
          <w:tcPr>
            <w:tcW w:w="900" w:type="dxa"/>
            <w:vMerge w:val="continue"/>
            <w:vAlign w:val="center"/>
          </w:tcPr>
          <w:p>
            <w:pPr>
              <w:spacing w:line="300" w:lineRule="exact"/>
              <w:rPr>
                <w:rFonts w:hint="eastAsia" w:ascii="仿宋_GB2312" w:hAnsi="仿宋_GB2312" w:eastAsia="仿宋_GB2312" w:cs="仿宋_GB2312"/>
                <w:sz w:val="24"/>
                <w:szCs w:val="24"/>
              </w:rPr>
            </w:pPr>
          </w:p>
        </w:tc>
        <w:tc>
          <w:tcPr>
            <w:tcW w:w="816" w:type="dxa"/>
            <w:vMerge w:val="continue"/>
            <w:vAlign w:val="center"/>
          </w:tcPr>
          <w:p>
            <w:pPr>
              <w:jc w:val="center"/>
              <w:rPr>
                <w:rFonts w:ascii="仿宋_GB2312" w:hAnsi="华文中宋" w:eastAsia="仿宋_GB2312" w:cs="华文中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1" w:type="dxa"/>
            <w:vAlign w:val="center"/>
          </w:tcPr>
          <w:p>
            <w:pPr>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参评资格</w:t>
            </w:r>
          </w:p>
        </w:tc>
        <w:tc>
          <w:tcPr>
            <w:tcW w:w="12338" w:type="dxa"/>
            <w:gridSpan w:val="3"/>
          </w:tcPr>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凡山东科技大学泰山科技学院的各二级学院学生会，除自动放弃的和取消参评资格外均有资格申报“优秀学生会”。</w:t>
            </w:r>
          </w:p>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各二级学院学生会存在下列情况之一者，取消其参评资格。</w:t>
            </w:r>
          </w:p>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1.二级学院学生会工作中出现重大失误，学校重要工作不配合等情况，取消其参评资格。</w:t>
            </w:r>
          </w:p>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2.评选过程中，参评学生会有欺骗作弊行为或其它严重违反评选办法行为的，一经查实，取消其参评资格。</w:t>
            </w:r>
          </w:p>
          <w:p>
            <w:pPr>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 实行“一票否决”制，因工作疏忽出现重大失误（如出现重大事故、有重大违纪现象等）及存在其他违规行为（如未积极配合本次考评；未及时上交参评材料）的二级学院学生会，考评小组有一票否决权，取消其参评资格。 </w:t>
            </w:r>
          </w:p>
        </w:tc>
        <w:tc>
          <w:tcPr>
            <w:tcW w:w="816" w:type="dxa"/>
          </w:tcPr>
          <w:p>
            <w:pPr>
              <w:jc w:val="center"/>
              <w:rPr>
                <w:rFonts w:ascii="仿宋_GB2312" w:hAnsi="华文中宋" w:eastAsia="仿宋_GB2312" w:cs="华文中宋"/>
                <w:sz w:val="24"/>
                <w:szCs w:val="24"/>
              </w:rPr>
            </w:pPr>
          </w:p>
        </w:tc>
      </w:tr>
    </w:tbl>
    <w:p>
      <w:pPr>
        <w:pStyle w:val="7"/>
        <w:tabs>
          <w:tab w:val="left" w:pos="921"/>
        </w:tabs>
        <w:spacing w:before="6" w:line="249" w:lineRule="auto"/>
        <w:ind w:left="-1208" w:leftChars="-575" w:right="199" w:firstLine="816" w:firstLineChars="340"/>
        <w:jc w:val="both"/>
        <w:rPr>
          <w:rFonts w:cs="仿宋_GB2312"/>
          <w:sz w:val="24"/>
          <w:szCs w:val="24"/>
        </w:rPr>
      </w:pPr>
      <w:r>
        <w:rPr>
          <w:rFonts w:hint="eastAsia" w:cs="仿宋_GB2312"/>
          <w:sz w:val="24"/>
          <w:szCs w:val="24"/>
        </w:rPr>
        <w:t>注：</w:t>
      </w:r>
      <w:r>
        <w:rPr>
          <w:rFonts w:hint="eastAsia" w:cs="仿宋_GB2312"/>
          <w:sz w:val="24"/>
          <w:szCs w:val="24"/>
          <w:lang w:val="en-US" w:eastAsia="zh-CN"/>
        </w:rPr>
        <w:t xml:space="preserve"> </w:t>
      </w:r>
      <w:r>
        <w:rPr>
          <w:rFonts w:cs="仿宋_GB2312"/>
          <w:sz w:val="24"/>
          <w:szCs w:val="24"/>
        </w:rPr>
        <w:t>1.本考评细则评分采取百分制；</w:t>
      </w:r>
    </w:p>
    <w:p>
      <w:pPr>
        <w:pStyle w:val="7"/>
        <w:tabs>
          <w:tab w:val="left" w:pos="921"/>
        </w:tabs>
        <w:spacing w:before="6" w:line="249" w:lineRule="auto"/>
        <w:ind w:left="-1418" w:leftChars="-675" w:right="199" w:firstLine="1620" w:firstLineChars="675"/>
        <w:jc w:val="both"/>
        <w:rPr>
          <w:rFonts w:cs="仿宋_GB2312"/>
          <w:sz w:val="24"/>
          <w:szCs w:val="24"/>
        </w:rPr>
      </w:pPr>
      <w:r>
        <w:rPr>
          <w:rFonts w:cs="仿宋_GB2312"/>
          <w:sz w:val="24"/>
          <w:szCs w:val="24"/>
        </w:rPr>
        <w:t>2.总分=20%自评分+80%考核分+附加分项</w:t>
      </w:r>
    </w:p>
    <w:p>
      <w:pPr>
        <w:pStyle w:val="7"/>
        <w:tabs>
          <w:tab w:val="left" w:pos="921"/>
        </w:tabs>
        <w:spacing w:before="6" w:line="249" w:lineRule="auto"/>
        <w:ind w:left="-1418" w:leftChars="-675" w:right="199" w:firstLine="1620" w:firstLineChars="675"/>
        <w:jc w:val="both"/>
        <w:rPr>
          <w:rFonts w:cs="仿宋_GB2312"/>
          <w:sz w:val="24"/>
          <w:szCs w:val="24"/>
        </w:rPr>
      </w:pPr>
      <w:r>
        <w:rPr>
          <w:rFonts w:cs="仿宋_GB2312"/>
          <w:sz w:val="24"/>
          <w:szCs w:val="24"/>
        </w:rPr>
        <w:t>3.材料上交时，最后一页附本</w:t>
      </w:r>
      <w:r>
        <w:rPr>
          <w:rFonts w:hint="eastAsia" w:cs="仿宋_GB2312"/>
          <w:sz w:val="24"/>
          <w:szCs w:val="24"/>
        </w:rPr>
        <w:t>学院</w:t>
      </w:r>
      <w:r>
        <w:rPr>
          <w:rFonts w:cs="仿宋_GB2312"/>
          <w:sz w:val="24"/>
          <w:szCs w:val="24"/>
        </w:rPr>
        <w:t>学生会成员名单</w:t>
      </w:r>
      <w:r>
        <w:rPr>
          <w:rFonts w:hint="eastAsia" w:cs="仿宋_GB2312"/>
          <w:sz w:val="24"/>
          <w:szCs w:val="24"/>
        </w:rPr>
        <w:t>。</w:t>
      </w:r>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eastAsia" w:ascii="宋体" w:hAnsi="宋体" w:eastAsia="宋体"/>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8F6"/>
    <w:rsid w:val="00003489"/>
    <w:rsid w:val="00043E14"/>
    <w:rsid w:val="0016367D"/>
    <w:rsid w:val="00176558"/>
    <w:rsid w:val="0019200C"/>
    <w:rsid w:val="001C3CD5"/>
    <w:rsid w:val="001E5FA1"/>
    <w:rsid w:val="00242C9C"/>
    <w:rsid w:val="002E33FA"/>
    <w:rsid w:val="003227E7"/>
    <w:rsid w:val="00456946"/>
    <w:rsid w:val="00543E5E"/>
    <w:rsid w:val="0056739B"/>
    <w:rsid w:val="005E73C6"/>
    <w:rsid w:val="006156F5"/>
    <w:rsid w:val="0071344A"/>
    <w:rsid w:val="0087734B"/>
    <w:rsid w:val="0095582E"/>
    <w:rsid w:val="009F584D"/>
    <w:rsid w:val="00A0710A"/>
    <w:rsid w:val="00A3228E"/>
    <w:rsid w:val="00AA4513"/>
    <w:rsid w:val="00C84317"/>
    <w:rsid w:val="00D838F6"/>
    <w:rsid w:val="00DB5E8D"/>
    <w:rsid w:val="00DD3F0A"/>
    <w:rsid w:val="00F15B54"/>
    <w:rsid w:val="00F245CE"/>
    <w:rsid w:val="0F453A2A"/>
    <w:rsid w:val="11C55595"/>
    <w:rsid w:val="157D11CA"/>
    <w:rsid w:val="283F56B5"/>
    <w:rsid w:val="311E2850"/>
    <w:rsid w:val="4BDC3491"/>
    <w:rsid w:val="62620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Paragraph"/>
    <w:basedOn w:val="1"/>
    <w:qFormat/>
    <w:uiPriority w:val="1"/>
    <w:pPr>
      <w:autoSpaceDE w:val="0"/>
      <w:autoSpaceDN w:val="0"/>
      <w:jc w:val="left"/>
    </w:pPr>
    <w:rPr>
      <w:rFonts w:ascii="宋体" w:hAnsi="宋体" w:eastAsia="宋体" w:cs="宋体"/>
      <w:kern w:val="0"/>
      <w:sz w:val="22"/>
      <w:lang w:val="zh-CN" w:bidi="zh-CN"/>
    </w:rPr>
  </w:style>
  <w:style w:type="paragraph" w:styleId="8">
    <w:name w:val="List Paragraph"/>
    <w:basedOn w:val="1"/>
    <w:qFormat/>
    <w:uiPriority w:val="34"/>
    <w:pPr>
      <w:ind w:firstLine="420" w:firstLineChars="200"/>
    </w:p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343</Words>
  <Characters>1956</Characters>
  <Lines>16</Lines>
  <Paragraphs>4</Paragraphs>
  <TotalTime>5</TotalTime>
  <ScaleCrop>false</ScaleCrop>
  <LinksUpToDate>false</LinksUpToDate>
  <CharactersWithSpaces>2295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2020-03-10T08:22:00Z</dcterms:created>
  <dc:creator>552359423@qq.com</dc:creator>
  <cp:lastModifiedBy>静心</cp:lastModifiedBy>
  <dcterms:modified xsi:type="dcterms:W3CDTF">2020-04-17T02:52:05Z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